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3810</wp:posOffset>
                </wp:positionV>
                <wp:extent cx="566420" cy="5715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64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08.9pt;mso-position-horizontal:absolute;mso-position-vertical-relative:text;margin-top:0.3pt;mso-position-vertical:absolute;width:44.6pt;height:45.0pt;mso-wrap-distance-left:9.0pt;mso-wrap-distance-top:0.0pt;mso-wrap-distance-right:9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ШАРЬИНСКОГО МУНИЦИПАЛЬНОГО РАЙОНА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/>
    </w:p>
    <w:p>
      <w:pPr>
        <w:jc w:val="center"/>
        <w:tabs>
          <w:tab w:val="left" w:pos="2565" w:leader="none"/>
          <w:tab w:val="center" w:pos="472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/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«27» марта 2024 г.   № 52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плана организации ярмарок и продажи товаров (выполнения работ, оказания услуг) на них на территории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Шарьинского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муниципального района на 2024 год</w:t>
      </w:r>
      <w:r/>
    </w:p>
    <w:p>
      <w:pPr>
        <w:ind w:firstLine="709"/>
        <w:jc w:val="both"/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от 28 декабря 2</w:t>
      </w:r>
      <w:r>
        <w:rPr>
          <w:rFonts w:ascii="Times New Roman" w:hAnsi="Times New Roman" w:cs="Times New Roman"/>
          <w:sz w:val="28"/>
          <w:szCs w:val="28"/>
        </w:rPr>
        <w:t xml:space="preserve">009 года № 381-ФЗ «Об основах государственного регулирования торговой деятельности в Российской Федерации», пунктом 3 части 2 статьи 3 Закона Костромской области от 2 сентября 2010 года № 657-4-ЗКО «О государственном регулировании торговой деятельности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Костромской области», постановлением администрации Костромской области от 22 декабря 2010 года № 422-а «О порядке организации ярмарок и продажи товаров (выполнения работ, оказания услуг) на них, а также требованиях к организации продажи товаров </w:t>
      </w:r>
      <w:r>
        <w:rPr>
          <w:rFonts w:ascii="Times New Roman" w:hAnsi="Times New Roman" w:cs="Times New Roman"/>
          <w:sz w:val="28"/>
          <w:szCs w:val="28"/>
        </w:rPr>
        <w:t xml:space="preserve">(выполнения работ, оказания услуг) на</w:t>
      </w:r>
      <w:r>
        <w:rPr>
          <w:rFonts w:ascii="Times New Roman" w:hAnsi="Times New Roman" w:cs="Times New Roman"/>
          <w:sz w:val="28"/>
          <w:szCs w:val="28"/>
        </w:rPr>
        <w:t xml:space="preserve"> ярмарках на территории Костромской области, в целях обеспечения населения Шарьинского муниципального района качественными продуктами по доступным ценам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статьями 37, 52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Шарьинский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Костромской области: </w:t>
      </w:r>
      <w:r/>
    </w:p>
    <w:p>
      <w:pPr>
        <w:ind w:firstLine="709"/>
        <w:jc w:val="both"/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100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план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ярмарок и продажи товаров (выполнения работ, оказания услуг) на 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Шарьинского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2024 год (Приложение).</w:t>
      </w:r>
      <w:r/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распоряжение вступает в силу со дня его подписания и подлежит официальному опубликованию.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Шарьинского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                       Н.С.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Глушаков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/>
    </w:p>
    <w:p>
      <w:pPr>
        <w:spacing w:after="0"/>
        <w:sectPr>
          <w:footnotePr/>
          <w:endnotePr/>
          <w:type w:val="nextPage"/>
          <w:pgSz w:w="11906" w:h="16838" w:orient="portrait"/>
          <w:pgMar w:top="709" w:right="850" w:bottom="1134" w:left="1134" w:header="709" w:footer="709" w:gutter="0"/>
          <w:cols w:num="1" w:sep="0" w:space="708" w:equalWidth="1"/>
          <w:docGrid w:linePitch="360"/>
        </w:sectPr>
      </w:pPr>
      <w:r/>
      <w:r/>
    </w:p>
    <w:tbl>
      <w:tblPr>
        <w:tblStyle w:val="707"/>
        <w:tblW w:w="0" w:type="auto"/>
        <w:tblLook w:val="04A0" w:firstRow="1" w:lastRow="0" w:firstColumn="1" w:lastColumn="0" w:noHBand="0" w:noVBand="1"/>
      </w:tblPr>
      <w:tblGrid>
        <w:gridCol w:w="690"/>
        <w:gridCol w:w="2310"/>
        <w:gridCol w:w="2430"/>
        <w:gridCol w:w="2700"/>
        <w:gridCol w:w="3375"/>
        <w:gridCol w:w="3540"/>
        <w:gridCol w:w="2070"/>
      </w:tblGrid>
      <w:tr>
        <w:trPr>
          <w:trHeight w:val="5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10" w:type="dxa"/>
            <w:textDirection w:val="lrTb"/>
            <w:noWrap w:val="false"/>
          </w:tcPr>
          <w:p>
            <w:r>
              <w:t xml:space="preserve">Приложение</w:t>
            </w:r>
            <w:r/>
          </w:p>
        </w:tc>
      </w:tr>
      <w:tr>
        <w:trPr>
          <w:trHeight w:val="465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ярмарок и продажи товаров (выполнения работ, оказания услуг) на них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Шарьинского муниципального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 2024 год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  <w:t xml:space="preserve">                       </w:t>
            </w:r>
            <w:r/>
          </w:p>
        </w:tc>
      </w:tr>
      <w:tr>
        <w:trPr>
          <w:trHeight w:val="375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1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vMerge w:val="restart"/>
            <w:textDirection w:val="lrTb"/>
            <w:noWrap w:val="false"/>
          </w:tcPr>
          <w:p>
            <w: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Merge w:val="restart"/>
            <w:textDirection w:val="lrTb"/>
            <w:noWrap w:val="false"/>
          </w:tcPr>
          <w:p>
            <w:r>
              <w:t xml:space="preserve">Место проведения ярмарки (адрес)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Merge w:val="restart"/>
            <w:textDirection w:val="lrTb"/>
            <w:noWrap w:val="false"/>
          </w:tcPr>
          <w:p>
            <w:r>
              <w:t xml:space="preserve">Сроки проведения ярмарки (дата начала и окончания ярмарки)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75" w:type="dxa"/>
            <w:textDirection w:val="lrTb"/>
            <w:noWrap w:val="false"/>
          </w:tcPr>
          <w:p>
            <w:r>
              <w:t xml:space="preserve">Вид ярмарки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Merge w:val="restart"/>
            <w:textDirection w:val="lrTb"/>
            <w:noWrap w:val="false"/>
          </w:tcPr>
          <w:p>
            <w:r>
              <w:t xml:space="preserve">Организатор ярмарки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vMerge w:val="restart"/>
            <w:textDirection w:val="lrTb"/>
            <w:noWrap w:val="false"/>
          </w:tcPr>
          <w:p>
            <w:r>
              <w:t xml:space="preserve">Общее количество торговых мест</w:t>
            </w:r>
            <w:r/>
          </w:p>
        </w:tc>
      </w:tr>
      <w:tr>
        <w:trPr>
          <w:trHeight w:val="18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по срокам проведения (сезонная, праздничная, выходного дня, постояннодействующая)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по ассортименту реализуемых товаров (сельскохозяйственная, продовольственная, непродовольственная, универсальная,  тематическая)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>
              <w:t xml:space="preserve">с.Н-Шанга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>
              <w:t xml:space="preserve">27.04.2024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выходного дня (пасхальная ярмарка)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продовольственная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r>
              <w:t xml:space="preserve">Администрация Шангского сельского поселения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textDirection w:val="lrTb"/>
            <w:noWrap w:val="false"/>
          </w:tcPr>
          <w:p>
            <w:r>
              <w:t xml:space="preserve">3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>
              <w:t xml:space="preserve">п. Зебляки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>
              <w:t xml:space="preserve">28.04.2024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выходного дня (пасхальная ярмарка)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продовольственная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r>
              <w:t xml:space="preserve">Администрация Зебляковского сельского поселения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textDirection w:val="lrTb"/>
            <w:noWrap w:val="false"/>
          </w:tcPr>
          <w:p>
            <w:r>
              <w:t xml:space="preserve">3</w:t>
            </w:r>
            <w:r/>
          </w:p>
        </w:tc>
      </w:tr>
      <w:tr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>
              <w:t xml:space="preserve">п. Шекшема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>
              <w:t xml:space="preserve">04.05.2024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выходного дня (пасхальная ярмарка)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продовольственная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r>
              <w:t xml:space="preserve">Администрация Шекшемского сельского поселения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textDirection w:val="lrTb"/>
            <w:noWrap w:val="false"/>
          </w:tcPr>
          <w:p>
            <w:r>
              <w:t xml:space="preserve">3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>
              <w:t xml:space="preserve">с. Рождественское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>
              <w:t xml:space="preserve">05.05.2024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выходного дня (пасхальная ярмарка)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продовольственная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r>
              <w:t xml:space="preserve">Администрация Ивановского сельского поселения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textDirection w:val="lrTb"/>
            <w:noWrap w:val="false"/>
          </w:tcPr>
          <w:p>
            <w:r>
              <w:t xml:space="preserve">3</w:t>
            </w:r>
            <w:r/>
          </w:p>
        </w:tc>
      </w:tr>
      <w:tr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>
              <w:t xml:space="preserve">с.Н-Шанга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>
              <w:t xml:space="preserve">21.07.2024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праздничная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r>
              <w:t xml:space="preserve">Администрация Шангского сельского поселения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textDirection w:val="lrTb"/>
            <w:noWrap w:val="false"/>
          </w:tcPr>
          <w:p>
            <w:r>
              <w:t xml:space="preserve">15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>
              <w:t xml:space="preserve">с. Одоевское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>
              <w:t xml:space="preserve">17.08.2024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праздничная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r>
              <w:t xml:space="preserve">Администрация Одоевского сельского поселения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textDirection w:val="lrTb"/>
            <w:noWrap w:val="false"/>
          </w:tcPr>
          <w:p>
            <w:r>
              <w:t xml:space="preserve">20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0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textDirection w:val="lrTb"/>
            <w:noWrap w:val="false"/>
          </w:tcPr>
          <w:p>
            <w:r>
              <w:t xml:space="preserve">п.Зебляки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textDirection w:val="lrTb"/>
            <w:noWrap w:val="false"/>
          </w:tcPr>
          <w:p>
            <w:r>
              <w:t xml:space="preserve">15.09.2024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textDirection w:val="lrTb"/>
            <w:noWrap w:val="false"/>
          </w:tcPr>
          <w:p>
            <w:r>
              <w:t xml:space="preserve">праздничная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textDirection w:val="lrTb"/>
            <w:noWrap w:val="false"/>
          </w:tcPr>
          <w:p>
            <w:r>
              <w:t xml:space="preserve">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r>
              <w:t xml:space="preserve">Администрация Зебляковского сельского поселения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70" w:type="dxa"/>
            <w:textDirection w:val="lrTb"/>
            <w:noWrap w:val="false"/>
          </w:tcPr>
          <w:p>
            <w:r>
              <w:t xml:space="preserve">15</w:t>
            </w:r>
            <w:r/>
          </w:p>
        </w:tc>
      </w:tr>
    </w:tbl>
    <w:p>
      <w:pPr>
        <w:spacing w:after="0"/>
      </w:pPr>
      <w:r/>
      <w:r/>
    </w:p>
    <w:sectPr>
      <w:footnotePr/>
      <w:endnotePr/>
      <w:type w:val="nextPage"/>
      <w:pgSz w:w="16838" w:h="11906" w:orient="landscape"/>
      <w:pgMar w:top="1134" w:right="1134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/>
        <w:b/>
        <w:bCs/>
        <w:iCs/>
        <w:sz w:val="32"/>
        <w:szCs w:val="32"/>
        <w:lang w:val="ru-RU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Times New Roman" w:hAnsi="Times New Roman" w:eastAsia="Arial" w:cs="Times New Roman"/>
        <w:b w:val="0"/>
        <w:bCs/>
        <w:sz w:val="32"/>
        <w:szCs w:val="32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14"/>
  </w:num>
  <w:num w:numId="9">
    <w:abstractNumId w:val="3"/>
  </w:num>
  <w:num w:numId="10">
    <w:abstractNumId w:val="13"/>
  </w:num>
  <w:num w:numId="11">
    <w:abstractNumId w:val="9"/>
  </w:num>
  <w:num w:numId="12">
    <w:abstractNumId w:val="5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Title Char"/>
    <w:basedOn w:val="665"/>
    <w:link w:val="693"/>
    <w:uiPriority w:val="10"/>
    <w:rPr>
      <w:sz w:val="48"/>
      <w:szCs w:val="48"/>
    </w:rPr>
  </w:style>
  <w:style w:type="character" w:styleId="669" w:customStyle="1">
    <w:name w:val="Subtitle Char"/>
    <w:basedOn w:val="665"/>
    <w:link w:val="695"/>
    <w:uiPriority w:val="11"/>
    <w:rPr>
      <w:sz w:val="24"/>
      <w:szCs w:val="24"/>
    </w:rPr>
  </w:style>
  <w:style w:type="character" w:styleId="670" w:customStyle="1">
    <w:name w:val="Quote Char"/>
    <w:link w:val="697"/>
    <w:uiPriority w:val="29"/>
    <w:rPr>
      <w:i/>
    </w:rPr>
  </w:style>
  <w:style w:type="character" w:styleId="671" w:customStyle="1">
    <w:name w:val="Intense Quote Char"/>
    <w:link w:val="699"/>
    <w:uiPriority w:val="30"/>
    <w:rPr>
      <w:i/>
    </w:rPr>
  </w:style>
  <w:style w:type="character" w:styleId="672" w:customStyle="1">
    <w:name w:val="Footnote Text Char"/>
    <w:link w:val="834"/>
    <w:uiPriority w:val="99"/>
    <w:rPr>
      <w:sz w:val="18"/>
    </w:rPr>
  </w:style>
  <w:style w:type="character" w:styleId="673" w:customStyle="1">
    <w:name w:val="Endnote Text Char"/>
    <w:link w:val="837"/>
    <w:uiPriority w:val="99"/>
    <w:rPr>
      <w:sz w:val="20"/>
    </w:rPr>
  </w:style>
  <w:style w:type="paragraph" w:styleId="674" w:customStyle="1">
    <w:name w:val="Heading 1"/>
    <w:basedOn w:val="664"/>
    <w:next w:val="664"/>
    <w:link w:val="67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5" w:customStyle="1">
    <w:name w:val="Heading 1 Char"/>
    <w:basedOn w:val="665"/>
    <w:link w:val="674"/>
    <w:uiPriority w:val="9"/>
    <w:rPr>
      <w:rFonts w:ascii="Arial" w:hAnsi="Arial" w:eastAsia="Arial" w:cs="Arial"/>
      <w:sz w:val="40"/>
      <w:szCs w:val="40"/>
    </w:rPr>
  </w:style>
  <w:style w:type="paragraph" w:styleId="676" w:customStyle="1">
    <w:name w:val="Heading 2"/>
    <w:basedOn w:val="664"/>
    <w:next w:val="664"/>
    <w:link w:val="6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7" w:customStyle="1">
    <w:name w:val="Heading 2 Char"/>
    <w:basedOn w:val="665"/>
    <w:link w:val="676"/>
    <w:uiPriority w:val="9"/>
    <w:rPr>
      <w:rFonts w:ascii="Arial" w:hAnsi="Arial" w:eastAsia="Arial" w:cs="Arial"/>
      <w:sz w:val="34"/>
    </w:rPr>
  </w:style>
  <w:style w:type="paragraph" w:styleId="678" w:customStyle="1">
    <w:name w:val="Heading 3"/>
    <w:basedOn w:val="664"/>
    <w:next w:val="664"/>
    <w:link w:val="67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9" w:customStyle="1">
    <w:name w:val="Heading 3 Char"/>
    <w:basedOn w:val="665"/>
    <w:link w:val="678"/>
    <w:uiPriority w:val="9"/>
    <w:rPr>
      <w:rFonts w:ascii="Arial" w:hAnsi="Arial" w:eastAsia="Arial" w:cs="Arial"/>
      <w:sz w:val="30"/>
      <w:szCs w:val="30"/>
    </w:rPr>
  </w:style>
  <w:style w:type="paragraph" w:styleId="680" w:customStyle="1">
    <w:name w:val="Heading 4"/>
    <w:basedOn w:val="664"/>
    <w:next w:val="664"/>
    <w:link w:val="6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4 Char"/>
    <w:basedOn w:val="665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 w:customStyle="1">
    <w:name w:val="Heading 5"/>
    <w:basedOn w:val="664"/>
    <w:next w:val="664"/>
    <w:link w:val="68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5 Char"/>
    <w:basedOn w:val="665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 w:customStyle="1">
    <w:name w:val="Heading 6"/>
    <w:basedOn w:val="664"/>
    <w:next w:val="664"/>
    <w:link w:val="6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5" w:customStyle="1">
    <w:name w:val="Heading 6 Char"/>
    <w:basedOn w:val="665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 w:customStyle="1">
    <w:name w:val="Heading 7"/>
    <w:basedOn w:val="664"/>
    <w:next w:val="664"/>
    <w:link w:val="68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7" w:customStyle="1">
    <w:name w:val="Heading 7 Char"/>
    <w:basedOn w:val="665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 w:customStyle="1">
    <w:name w:val="Heading 8"/>
    <w:basedOn w:val="664"/>
    <w:next w:val="664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9" w:customStyle="1">
    <w:name w:val="Heading 8 Char"/>
    <w:basedOn w:val="665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 w:customStyle="1">
    <w:name w:val="Heading 9"/>
    <w:basedOn w:val="664"/>
    <w:next w:val="664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Heading 9 Char"/>
    <w:basedOn w:val="665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64"/>
    <w:next w:val="664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basedOn w:val="665"/>
    <w:link w:val="693"/>
    <w:uiPriority w:val="10"/>
    <w:rPr>
      <w:sz w:val="48"/>
      <w:szCs w:val="48"/>
    </w:rPr>
  </w:style>
  <w:style w:type="paragraph" w:styleId="695">
    <w:name w:val="Subtitle"/>
    <w:basedOn w:val="664"/>
    <w:next w:val="664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basedOn w:val="665"/>
    <w:link w:val="695"/>
    <w:uiPriority w:val="11"/>
    <w:rPr>
      <w:sz w:val="24"/>
      <w:szCs w:val="24"/>
    </w:rPr>
  </w:style>
  <w:style w:type="paragraph" w:styleId="697">
    <w:name w:val="Quote"/>
    <w:basedOn w:val="664"/>
    <w:next w:val="66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4"/>
    <w:next w:val="66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 w:customStyle="1">
    <w:name w:val="Header"/>
    <w:basedOn w:val="664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Header Char"/>
    <w:basedOn w:val="665"/>
    <w:link w:val="701"/>
    <w:uiPriority w:val="99"/>
  </w:style>
  <w:style w:type="paragraph" w:styleId="703" w:customStyle="1">
    <w:name w:val="Footer"/>
    <w:basedOn w:val="66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65"/>
    <w:link w:val="703"/>
    <w:uiPriority w:val="99"/>
  </w:style>
  <w:style w:type="paragraph" w:styleId="705" w:customStyle="1">
    <w:name w:val="Caption"/>
    <w:basedOn w:val="664"/>
    <w:next w:val="66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6" w:customStyle="1">
    <w:name w:val="Caption Char"/>
    <w:link w:val="703"/>
    <w:uiPriority w:val="99"/>
  </w:style>
  <w:style w:type="table" w:styleId="707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 w:customStyle="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 w:customStyle="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 w:customStyle="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 w:customStyle="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6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5"/>
    <w:uiPriority w:val="99"/>
    <w:unhideWhenUsed/>
    <w:rPr>
      <w:vertAlign w:val="superscript"/>
    </w:rPr>
  </w:style>
  <w:style w:type="paragraph" w:styleId="837">
    <w:name w:val="endnote text"/>
    <w:basedOn w:val="66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5"/>
    <w:uiPriority w:val="99"/>
    <w:semiHidden/>
    <w:unhideWhenUsed/>
    <w:rPr>
      <w:vertAlign w:val="superscript"/>
    </w:rPr>
  </w:style>
  <w:style w:type="paragraph" w:styleId="840">
    <w:name w:val="toc 1"/>
    <w:basedOn w:val="664"/>
    <w:next w:val="664"/>
    <w:uiPriority w:val="39"/>
    <w:unhideWhenUsed/>
    <w:pPr>
      <w:spacing w:after="57"/>
    </w:pPr>
  </w:style>
  <w:style w:type="paragraph" w:styleId="841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42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43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44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45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46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47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8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64"/>
    <w:next w:val="664"/>
    <w:uiPriority w:val="99"/>
    <w:unhideWhenUsed/>
    <w:pPr>
      <w:spacing w:after="0"/>
    </w:pPr>
  </w:style>
  <w:style w:type="paragraph" w:styleId="851" w:customStyle="1">
    <w:name w:val="ConsPlusNormal"/>
    <w:link w:val="852"/>
    <w:uiPriority w:val="99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character" w:styleId="852" w:customStyle="1">
    <w:name w:val="ConsPlusNormal Знак"/>
    <w:link w:val="851"/>
    <w:uiPriority w:val="99"/>
    <w:qFormat/>
    <w:rPr>
      <w:rFonts w:ascii="Arial" w:hAnsi="Arial" w:eastAsia="Times New Roman" w:cs="Arial"/>
      <w:sz w:val="20"/>
      <w:szCs w:val="20"/>
    </w:rPr>
  </w:style>
  <w:style w:type="paragraph" w:styleId="853">
    <w:name w:val="List Paragraph"/>
    <w:basedOn w:val="664"/>
    <w:link w:val="854"/>
    <w:uiPriority w:val="99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854" w:customStyle="1">
    <w:name w:val="Абзац списка Знак"/>
    <w:link w:val="853"/>
    <w:uiPriority w:val="99"/>
    <w:qFormat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855">
    <w:name w:val="Balloon Text"/>
    <w:basedOn w:val="664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665"/>
    <w:link w:val="855"/>
    <w:uiPriority w:val="99"/>
    <w:semiHidden/>
    <w:rPr>
      <w:rFonts w:ascii="Tahoma" w:hAnsi="Tahoma" w:cs="Tahoma"/>
      <w:sz w:val="16"/>
      <w:szCs w:val="16"/>
    </w:rPr>
  </w:style>
  <w:style w:type="paragraph" w:styleId="857" w:customStyle="1">
    <w:name w:val="Standard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zh-CN"/>
    </w:rPr>
  </w:style>
  <w:style w:type="paragraph" w:styleId="858">
    <w:name w:val="Normal (Web)"/>
    <w:basedOn w:val="66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20</cp:revision>
  <dcterms:created xsi:type="dcterms:W3CDTF">2022-09-13T08:40:00Z</dcterms:created>
  <dcterms:modified xsi:type="dcterms:W3CDTF">2024-03-28T05:40:52Z</dcterms:modified>
</cp:coreProperties>
</file>