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5"/>
        <w:jc w:val="center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ru-RU"/>
        </w:rPr>
        <w:t xml:space="preserve">Объявление 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проведени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отбора получателей субсидий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1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сельскохозяйственным товаропроизводителям на возмещение части затрат на приобретение пчелосемей</w:t>
      </w:r>
      <w:r/>
    </w:p>
    <w:p>
      <w:pPr>
        <w:pStyle w:val="615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сентября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  <w:tab/>
        <w:tab/>
        <w:tab/>
        <w:tab/>
        <w:tab/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Шарья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Организатор отбора: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</w:t>
      </w:r>
      <w:r>
        <w:rPr>
          <w:rFonts w:ascii="Times New Roman" w:hAnsi="Times New Roman"/>
          <w:sz w:val="28"/>
          <w:szCs w:val="28"/>
        </w:rPr>
        <w:t xml:space="preserve"> агропромышленного комплек</w:t>
      </w:r>
      <w:r>
        <w:rPr>
          <w:rFonts w:ascii="Times New Roman" w:hAnsi="Times New Roman"/>
          <w:sz w:val="28"/>
          <w:szCs w:val="28"/>
        </w:rPr>
        <w:t xml:space="preserve">са Шарьинского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(далее –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уведомляет о проведении отбора в целях предоставления в 2023 году субсидий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сельскохозяйственным товаропроизводителям на возмещение части затрат на содержание маточного поголовья сельскохозяйственных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животных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Срок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и проведения отбора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: 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с 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«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02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октя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бря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 2023 года </w:t>
        <w:br w:type="textWrapping" w:clear="all"/>
        <w:t xml:space="preserve">по «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05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» 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октября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 2023 года</w:t>
      </w:r>
      <w:r>
        <w:rPr>
          <w:rFonts w:ascii="Times New Roman" w:hAnsi="Times New Roman" w:eastAsia="Times New Roman"/>
          <w:color w:val="000000"/>
          <w:sz w:val="28"/>
          <w:szCs w:val="28"/>
          <w:u w:val="single"/>
          <w:lang w:eastAsia="ru-RU"/>
        </w:rPr>
        <w:t xml:space="preserve"> включительно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ежедневно (кроме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выходных и праздничных дней) с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.00 часов до 17.00 часов (время московское), перерыв с 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.00 часов до 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.00 часов (время московское).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Предложения (заявки) на участие в отборе и прилагаемые к ним документы представляются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Комитет АПК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green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Наименование, м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есто 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нахождения, почтовый адрес, адрес электронной почты главного распорядителя как получателя бюджетных средств</w:t>
      </w:r>
      <w:r>
        <w:rPr>
          <w:rFonts w:ascii="Times New Roman" w:hAnsi="Times New Roman" w:eastAsia="Times New Roman"/>
          <w:b/>
          <w:bCs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Отбор проводится </w:t>
      </w:r>
      <w:r>
        <w:rPr>
          <w:rFonts w:ascii="Times New Roman" w:hAnsi="Times New Roman"/>
          <w:sz w:val="28"/>
          <w:szCs w:val="28"/>
        </w:rPr>
        <w:t xml:space="preserve">Комитетом</w:t>
      </w:r>
      <w:r>
        <w:rPr>
          <w:rFonts w:ascii="Times New Roman" w:hAnsi="Times New Roman"/>
          <w:sz w:val="28"/>
          <w:szCs w:val="28"/>
        </w:rPr>
        <w:t xml:space="preserve"> агропромышленного комплек</w:t>
      </w:r>
      <w:r>
        <w:rPr>
          <w:rFonts w:ascii="Times New Roman" w:hAnsi="Times New Roman"/>
          <w:sz w:val="28"/>
          <w:szCs w:val="28"/>
        </w:rPr>
        <w:t xml:space="preserve">са Шарьинского муниципального района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расположенным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7500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г.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Шарья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ул.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Павлика Морозова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этаж, кабинет №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Почтовый адрес:</w:t>
      </w:r>
      <w: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157500,  г. Шарья, ул. Павлика Морозова, 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 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Адрес электронной почты</w:t>
      </w:r>
      <w:r>
        <w:rPr>
          <w:rFonts w:ascii="Times New Roman" w:hAnsi="Times New Roman" w:eastAsia="Times New Roman"/>
          <w:b/>
          <w:color w:val="000000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apk_sha4@mail.ru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Результат предоставления субсидии: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Достигнуты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 результатом предоставления субсидии является обеспечение увеличения не менее чем на 10 процентов производства меда по состоянию на 1 января года, следующего за годом предоставления субсидии, по сравнению с 1 января года, в котором предоставлена субсидия.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Участники отбора: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сельскохозяйственные товаропроизводители (за исключением граждан, ведущих личное подсобное хозяйство, не применяющих специальный налоговый режим «Налог на профессиональный доход»), состоящие на налоговом учете на территории Костромской области. 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Требования к участникам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отбора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и перечень документов, представляемых участниками отбора для подтверждения их соответствия указанным требованиям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Требования, которым должны соответствовать участники отбора: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на первое число месяца, в котором подается предложение (заявка):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 участника отбора должна отсутствовать просроченная задолженность по возврату в бюджет муниципального района (муниципального округа, городского округа) Костромской области субсидий, бюджетных инв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муниципальным районом (муниципальным округом, городским округом) Костромской области;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участники отбора - юридичес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ность участников отбора - юридических лиц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реестре дисквалифицированных лиц отсутствуют сведения о дисквалифицированном руководителе коллегиального исполнительного органа, 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являющемся участником отбора;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участники отбора не должны являться иностранными юридическими лицами, в том числе местом р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участники отбора не должны получать средства из бюджета муниципального района (муниципального округа, городского округа) Костромской области на основании иных нормативных правовых актов на цели, указанные в пункте 2 настоящего Порядка;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участники отбора не должны находиться в перечне организаций и физических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на дату формирования ответа на ме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жведомственный запрос у участников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по налогам и сборам.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center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Иные требования к участникам отбора:</w:t>
      </w:r>
      <w:r/>
    </w:p>
    <w:p>
      <w:pPr>
        <w:pStyle w:val="615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предоставление участником отбора главному распорядителю как получателю бюджетных средств отчетности о финансово-экономическом состоянии по форме, утвержденной Министерством сельского хозяйства Российской Федерации, за отчетный финансовый год;</w:t>
      </w:r>
      <w:r/>
    </w:p>
    <w:p>
      <w:pPr>
        <w:pStyle w:val="615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приобретение пчелосемей у юридических лиц, крестьянских (фермерских) хозяйств, индивидуальных предпринимателей за счет собственных и (или) заемных средств в отчетном финансовом году и 1-3 квартале текущего года; </w:t>
      </w:r>
      <w:r/>
    </w:p>
    <w:p>
      <w:pPr>
        <w:pStyle w:val="615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согласие получателя субсидии на осуществление в отношении него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</w:t>
      </w:r>
      <w:r>
        <w:rPr>
          <w:rFonts w:ascii="Times New Roman" w:hAnsi="Times New Roman"/>
          <w:sz w:val="28"/>
          <w:szCs w:val="28"/>
        </w:rPr>
        <w:t xml:space="preserve">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статьей 269.2 Бюджетного кодекса Российской Федерации; </w:t>
      </w:r>
      <w:r/>
    </w:p>
    <w:p>
      <w:pPr>
        <w:pStyle w:val="615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принятие участником отбора обязательств о достижении в отчетном финансовом году результатов использования средств в соответствии с заключенным Соглашением.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участия в отборе участники отбора представляют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следующие документы: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предложение (заявку) по форме согласно приложению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1 к настоящему Порядку, включающую в себя согласие на публикацию (размещение) в информационно-телекоммуникационной сети Интернет информации об участнике отбора;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справку-расчет на предоставление субсидии сельскохозяйственным товаропроизводителям на возмещение части затрат на содержание маточного поголовья сельскохозяйственных животных по форме согласно приложению N 2 к настоящему Порядку;</w:t>
      </w:r>
      <w:r/>
    </w:p>
    <w:p>
      <w:pPr>
        <w:pStyle w:val="615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справку, подписанную руководителем и главным бухгалтером участника отбора, о соблюдении получателем субсидии требований, предусмотренных пунктом 9 и подпунктами 3, 4 пункта 10 настоящего Порядка; </w:t>
      </w:r>
      <w:r/>
    </w:p>
    <w:p>
      <w:pPr>
        <w:pStyle w:val="615"/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копий документов, подтверждающих фактические затраты, произведенные в отчетном финансовом году и 1 полугодии текущего года: </w:t>
      </w:r>
      <w:r/>
    </w:p>
    <w:p>
      <w:pPr>
        <w:pStyle w:val="615"/>
        <w:ind w:firstLine="54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договоров на приобретение пчелосемей с актом приема-передачи; </w:t>
      </w:r>
      <w:r/>
    </w:p>
    <w:p>
      <w:pPr>
        <w:pStyle w:val="615"/>
        <w:ind w:firstLine="54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платежных документов, подтверждающих оплату приобретения пчелосемей; </w:t>
      </w:r>
      <w:r/>
    </w:p>
    <w:p>
      <w:pPr>
        <w:pStyle w:val="615"/>
        <w:ind w:firstLine="54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документов, указанных в платежном поручении как основание для оплаты в поле «Назначение платежа», в случае безналичной оплаты; </w:t>
      </w:r>
      <w:r/>
    </w:p>
    <w:p>
      <w:pPr>
        <w:pStyle w:val="615"/>
        <w:ind w:firstLine="540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товарной и (или) товарно-транспортной накладной на приобретение пчелосемей; </w:t>
      </w:r>
      <w:r/>
    </w:p>
    <w:p>
      <w:pPr>
        <w:pStyle w:val="615"/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копии ветеринарно-санитарного паспорта на пасеку. </w:t>
      </w:r>
      <w:r/>
    </w:p>
    <w:p>
      <w:pPr>
        <w:pStyle w:val="615"/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документов</w:t>
      </w:r>
      <w:r>
        <w:rPr>
          <w:rFonts w:ascii="Times New Roman" w:hAnsi="Times New Roman"/>
          <w:sz w:val="28"/>
          <w:szCs w:val="28"/>
        </w:rPr>
        <w:t xml:space="preserve"> заверяются участниками отбора. Участники отбора несут ответственность за достоверность информации, указанной в документах, определенных настоящим пунктом (за исключением документов, запрашиваемых посредством межведомственного электронного взаимодействия).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Главным распорядителем как получателем бюджетных средств запрашиваются в территориальном органе Федеральной налоговой службы посредством межведомственного электронного взаимодействия: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выписка из Единого государственного реестра юридических лиц (индивидуальных предпринимателей);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сведения, содержащиеся в реестре дисквалифицированных лиц;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справка о наличии по состоянию на дату формирования справки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 информация об освобождении участника отбора от исполнения обязанностей, связанных с исчислением и уплатой налога на добавленную стоимость.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Участники отбора вправе представить документы, указанные в пункте 13 настоящего Порядка, по собственной инициативе, при этом выписка из Еди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ного государственного реестра юридических лиц (индивидуальных предпринимателей), а также сведения из реестра дисквалифицированных лиц должны быть выданы налоговым органом не ранее чем за 30 календарных дней, предшествующих дате подачи предложения (заявки).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Порядок подачи предложений (заявок) участников отбора и требований, предъявляемых к форме и содержанию предложений (заявок), подаваемых участниками отбора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Участники отбора подают предложения (заявки) лично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кабинет комитета агропромышленного комплекса Шарьинского муниципального района (кабинет № 11)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в период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проведения отбора по форме согласно приложению №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 Порядку с приложением документов, указанных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пункте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Порядка.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Порядок отзыв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 предложений (заявок) участников отбора, порядок возврата предложений (заявок) участников отбора, определяющего в том числе основания для возврата предложений (заявок) участников отбора, порядок внесения изменений в предложения (заявки) участников отбора: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Участник отбора вправе отозвать предложение (заявку) и направить ее повторно в течение срока проведения отбора. Отзыв предложения (заявки) осуществляется по письменному заявлению (в произвольной форме) участника отбора, представленн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ому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 агропромышленного комплекса Шарьинского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highlight w:val="yellow"/>
          <w:lang w:eastAsia="ru-RU"/>
        </w:rPr>
      </w:r>
      <w:r/>
    </w:p>
    <w:p>
      <w:pPr>
        <w:pStyle w:val="615"/>
        <w:ind w:firstLine="567"/>
        <w:jc w:val="center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Основания для отклонения предложения (заявки) участника отбора на стадии рассмотрения и оценки предложений (заявок):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несоответствие участника отбора требованиям, предусмотренным пунктами 9, 10 настоящего Порядка;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несоответствие представленных участни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ком отбора документов требованиям, определенным пунктом 12 настоящего Порядка, или непредставление (представление не в полном объеме) указанных документов (за исключением документов, запрашиваемых посредством межведомственного электронного взаимодействия);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3) представление документов, указанных в пункте 12 настоящего Порядка, после даты и (или) времени, определенных для подачи предложений (заявок);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4) установление факта недостоверности представленной участником отбора информации, в том числе информации о месте нахождения и адресе участника отбора.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Основания для отказа получателю субсидии в предоставлении субсидий: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1) отклонение предложения (заявки) участников отбора в связи с несоответствием представленных документов требованиям, определенным пунктом 12 настоящего Порядка, или непредставление, или представление документов не в полном объеме;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2) установление факта недостоверности информации, содержащейся в документах, указанных в пункте 12 настоящего Порядка.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В случае принятия решения об отказе в предоставлении субсидии в уведомлении указывается основание отказа и разъясняется порядок обжалования такого решения. </w:t>
      </w:r>
      <w:r/>
    </w:p>
    <w:p>
      <w:pPr>
        <w:pStyle w:val="624"/>
        <w:contextual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Участник отбора вправе отозвать предложение (заявку) и направить ее повторно в течение срока проведения отбора.</w:t>
      </w:r>
      <w:r/>
    </w:p>
    <w:p>
      <w:pPr>
        <w:pStyle w:val="624"/>
        <w:contextualSpacing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/>
    </w:p>
    <w:p>
      <w:pPr>
        <w:pStyle w:val="624"/>
        <w:contextualSpacing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Правила рассмотрения и оценки </w:t>
      </w:r>
      <w:r>
        <w:rPr>
          <w:b/>
          <w:sz w:val="28"/>
          <w:szCs w:val="28"/>
        </w:rPr>
        <w:t xml:space="preserve">предложений (</w:t>
      </w:r>
      <w:r>
        <w:rPr>
          <w:b/>
          <w:sz w:val="28"/>
          <w:szCs w:val="28"/>
        </w:rPr>
        <w:t xml:space="preserve">заявок</w:t>
      </w:r>
      <w:r>
        <w:rPr>
          <w:b/>
          <w:sz w:val="28"/>
          <w:szCs w:val="28"/>
        </w:rPr>
        <w:t xml:space="preserve">)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участников отбора</w:t>
      </w:r>
      <w:r>
        <w:rPr>
          <w:b/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Поступившее главному распорядителю как получателю бюджетных средств предложение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(заявка), указанное в пункте 12 настоящего Порядка, регистрируется в день поступления в порядке очередности их поступления в журнале регистрации, прошнурованном, пронумерованном и скрепленном печатью главного распорядителя как получателя бюджетных средств.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Главный распорядитель как получатель бюджетных средств в течение 10 рабочих дней со дня, следующего за днем окончания срока подачи предложений (заявок), указанного в объявлении о проведении отбора: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рассматривает представленные предложения (заявки) и документы, предусмотренные пунктом 12 настоящего Порядка;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оценивает предложения (заявки) на соответствие требованиям, предусмотренным пунктами 9, 10 настоящего Порядка;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включает участников отбора, прошедших отбор, в реестр участников отбора, прошедших отбор;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принимает решение о признании участников отбора, прошедш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их отбор, победителями отбора и предоставлении им субсидий или об отклонении предложений (заявок) участника отбора, об отказе в предоставлении субсидий, которые оформляются приказом или распоряжением главного распорядителя как получателя бюджетных средств;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определяет размер субсидии каждому получателю субсидии;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размещает на официальном сайте в информационно-телекоммуникационной сети Интернет информацию, включающую следующие сведения: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дата, время и место проведения рассмотрения предложений (заявок);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информация об участниках отбора, предложения (заявки) которых были рассмотрены, и включенных в реестр участников отбора, прошедших отбор;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информация об участниках отбора, предложения (заявки)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 (заявки);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наименование получателя субсидии, с которым заключается Соглашение в порядке, установленном пунктом 25 настоящего Порядка, и размер предоставляемой ему субсидии.</w:t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срок, не превышающий 3 рабочих дней со дня принятия решений, предусмотренных подпунктом 4 пункта 17 настоящего Порядка, главный распорядитель как получатель бюджетных средств готовит уведомления: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прохождении отбора и предоставлении субсидии единовременно участникам отбора и заключает с ними Соглашения в порядке, установленном пунктом 25 настоящего Порядка;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отклонении предложений (заявок) и отказе в предоставлении субсидии по основаниям, указанным в 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унктах 19, 24 настоящего Порядка, и направляет участнику отбора письменное уведомление об отклонении предложения (заявки) и отказе в предоставлении субсидии с указанием причин в соответствии с основаниями, установленными пунктами 19, 24 настоящего Порядка.</w:t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Основания для отклонения предложения (заявки) участника отбора на стадии рассмотрения и оценки предложений (заявок):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несоответствие участника отбора требованиям, предусмотренным пунктами 9, 10 настоящего Порядка;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несоответствие представленных участни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 отбора документов требованиям, определенным пунктом 12 настоящего Порядка, или непредставление (представление не в полном объеме) указанных документов (за исключением документов, запрашиваемых посредством межведомственного электронного взаимодействия);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представление документов, указанных в пункте 12 настоящего Порядка, после даты и (или) времени, определенных для подачи предложений (заявок);</w:t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установление факта недостоверности представленной участником отбора информации, в том числе информации о месте нахождения и адресе участника отбора.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green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/>
      <w:bookmarkStart w:id="0" w:name="p38"/>
      <w:r/>
      <w:bookmarkEnd w:id="0"/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Порядок предоставления заявителям разъяснений положений объявления о проведении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отбора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, дата начала и окончания срока такого предоставления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Заявитель до даты и (или) времени, определенных для даты подачи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предложений (з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аявок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вправе направить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агропромышленного комплекса Шарьинского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запрос о даче разъяснений положений объявления о проведении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отбора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течение 2 рабочих дней со дня поступления указанного запроса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комитет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агропромышленного комплекса Шарьинского муниципального района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дает разъяснения о проведении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отбора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Срок, в течение которого победитель (победители)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отбора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должен подписать соглашение о предоставлении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субсидии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(далее – Соглашение):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субсидии осуществляется в соответствии с Соглашением, заключаемым между главным распо</w:t>
      </w:r>
      <w:r>
        <w:rPr>
          <w:rFonts w:ascii="Times New Roman" w:hAnsi="Times New Roman"/>
          <w:sz w:val="28"/>
          <w:szCs w:val="28"/>
        </w:rPr>
        <w:t xml:space="preserve">рядителем как получателем бюджетных средств и получателем субсидии не позднее 5 рабочих дней со дня принятия решения о предоставлении субсидии в соответствии с типовой формой, установленной финансовым органом муниципального образования Костромской области.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Соглашение включается условие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</w:t>
      </w:r>
      <w:r>
        <w:rPr>
          <w:rFonts w:ascii="Times New Roman" w:hAnsi="Times New Roman"/>
          <w:sz w:val="28"/>
          <w:szCs w:val="28"/>
        </w:rPr>
        <w:t xml:space="preserve">бюджетных средств утвержденных в установленном порядке лимитов бюджетных обязательств, указанных в пункте 3 настоящего Порядка, на предоставление субсидий на текущий финансовый год, приводящего к невозможности предоставления субсидии в размере, определенно</w:t>
      </w:r>
      <w:r>
        <w:rPr>
          <w:rFonts w:ascii="Times New Roman" w:hAnsi="Times New Roman"/>
          <w:sz w:val="28"/>
          <w:szCs w:val="28"/>
        </w:rPr>
        <w:t xml:space="preserve">м в Соглашении, а также согласие получателя субсидии на осуществление главным распорядителем как получателем бюджетных средств и органом муниципального финансового контроля проверок соблюдения условий и порядка предоставления субсидий получателем субсидии.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Изменения и дополнения, вносимые в </w:t>
      </w:r>
      <w:r>
        <w:rPr>
          <w:rFonts w:ascii="Times New Roman" w:hAnsi="Times New Roman"/>
          <w:sz w:val="28"/>
          <w:szCs w:val="28"/>
        </w:rPr>
        <w:t xml:space="preserve">Соглашение, оформляются в виде дополнительных соглашений, в том числе дополнительного соглашения о расторжении Соглашения (при необходимости), в соответствии с типовой формой, установленной финансовым органом муниципального образования Костромской области.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  <w:highlight w:val="green"/>
        </w:rPr>
      </w:pPr>
      <w:r>
        <w:rPr>
          <w:rFonts w:ascii="Times New Roman" w:hAnsi="Times New Roman"/>
          <w:sz w:val="28"/>
          <w:szCs w:val="28"/>
        </w:rPr>
        <w:t xml:space="preserve">Дополнительные соглашения являются неотъемлемой частью Соглашения.</w:t>
      </w:r>
      <w:r>
        <w:rPr>
          <w:rFonts w:ascii="Times New Roman" w:hAnsi="Times New Roman"/>
          <w:sz w:val="28"/>
          <w:szCs w:val="28"/>
          <w:highlight w:val="green"/>
        </w:rPr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Условия признания победителя (победителей) уклонившимся от заключения Соглашения: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Получатель субсидии признается уклонившимся от заключения Соглашения в случае: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поступления главному распорядителю как получателю бюджетных средств заявления об отказе от подписания Соглашения;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неподписания получателем субсидии Соглашения в течение срока, указанного в настоящем пункте.</w:t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признания получателя субсидии уклонивши</w:t>
      </w:r>
      <w:r>
        <w:rPr>
          <w:rFonts w:ascii="Times New Roman" w:hAnsi="Times New Roman"/>
          <w:sz w:val="28"/>
          <w:szCs w:val="28"/>
        </w:rPr>
        <w:t xml:space="preserve">мся от заключения Соглашения, главный распорядитель как получатель бюджетных средств в течение десяти рабочих дней со дня принятия решения о предоставлении субсидии вносит изменения в реестр получателей субсидии, которым отказано в предоставлении субсидии.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5"/>
        <w:ind w:firstLine="567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Предполагаемая дата размещения результатов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отбор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 на официальном сайте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Администрации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Шарьинского муниципального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района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 позднее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октября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года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Порядок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предоставления субсидий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сельскохозяйственным товаропроизводителям на возмещение части затрат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на приобретение пчелосемей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размещен на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официальном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сайте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Администрации Шарьинского муниципального района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https://sharyinskiy.kostroma.gov.ru/khozyaystvennaya-deyatelnost/selskoe-khozyaystvo/informatsiya-dlya-selkhozproizvoditeley.php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Хозяйственная деятельность - Сельское хозяйство – Информация для сельхозтоваропроизводителей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(Постановление администрации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Костромской области от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14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08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.20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351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-а)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/>
    </w:p>
    <w:p>
      <w:pPr>
        <w:pStyle w:val="615"/>
        <w:ind w:firstLine="567"/>
        <w:jc w:val="both"/>
        <w:spacing w:after="0" w:line="240" w:lineRule="auto"/>
        <w:shd w:val="clear" w:color="auto" w:fill="ffffff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Дополнительную информ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ацию можно получить по телефону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:</w:t>
        <w:br w:type="textWrapping" w:clear="all"/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+7 (4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9449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5-33-90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2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6</w:t>
    </w:r>
    <w:r>
      <w:fldChar w:fldCharType="end"/>
    </w:r>
    <w:r/>
  </w:p>
  <w:p>
    <w:pPr>
      <w:pStyle w:val="6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15"/>
    <w:next w:val="61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15"/>
    <w:next w:val="615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15"/>
    <w:next w:val="61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15"/>
    <w:next w:val="61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15"/>
    <w:next w:val="61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15"/>
    <w:next w:val="61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15"/>
    <w:next w:val="61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15"/>
    <w:next w:val="61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15"/>
    <w:next w:val="61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615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15"/>
    <w:next w:val="61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615"/>
    <w:next w:val="61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615"/>
    <w:next w:val="61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15"/>
    <w:next w:val="61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1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615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1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61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next w:val="615"/>
    <w:link w:val="615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616">
    <w:name w:val="Заголовок 1"/>
    <w:basedOn w:val="615"/>
    <w:next w:val="616"/>
    <w:link w:val="62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sz w:val="48"/>
      <w:szCs w:val="48"/>
      <w:lang w:val="en-US" w:eastAsia="ru-RU"/>
    </w:rPr>
  </w:style>
  <w:style w:type="character" w:styleId="617">
    <w:name w:val="Основной шрифт абзаца"/>
    <w:next w:val="617"/>
    <w:link w:val="615"/>
    <w:uiPriority w:val="1"/>
    <w:unhideWhenUsed/>
  </w:style>
  <w:style w:type="table" w:styleId="618">
    <w:name w:val="Обычная таблица"/>
    <w:next w:val="618"/>
    <w:link w:val="615"/>
    <w:uiPriority w:val="99"/>
    <w:semiHidden/>
    <w:unhideWhenUsed/>
    <w:tblPr/>
  </w:style>
  <w:style w:type="numbering" w:styleId="619">
    <w:name w:val="Нет списка"/>
    <w:next w:val="619"/>
    <w:link w:val="615"/>
    <w:uiPriority w:val="99"/>
    <w:semiHidden/>
    <w:unhideWhenUsed/>
  </w:style>
  <w:style w:type="character" w:styleId="620">
    <w:name w:val="Заголовок 1 Знак"/>
    <w:next w:val="620"/>
    <w:link w:val="616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paragraph" w:styleId="621">
    <w:name w:val="Обычный (веб)"/>
    <w:basedOn w:val="615"/>
    <w:next w:val="621"/>
    <w:link w:val="6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Строгий"/>
    <w:next w:val="622"/>
    <w:link w:val="615"/>
    <w:uiPriority w:val="22"/>
    <w:qFormat/>
    <w:rPr>
      <w:b/>
      <w:bCs/>
    </w:rPr>
  </w:style>
  <w:style w:type="character" w:styleId="623">
    <w:name w:val="Гиперссылка"/>
    <w:next w:val="623"/>
    <w:link w:val="615"/>
    <w:uiPriority w:val="99"/>
    <w:unhideWhenUsed/>
    <w:rPr>
      <w:color w:val="0000ff"/>
      <w:u w:val="single"/>
    </w:rPr>
  </w:style>
  <w:style w:type="paragraph" w:styleId="624">
    <w:name w:val="ConsPlusNormal"/>
    <w:next w:val="624"/>
    <w:link w:val="615"/>
    <w:pPr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paragraph" w:styleId="625">
    <w:name w:val="Нижний колонтитул"/>
    <w:basedOn w:val="615"/>
    <w:next w:val="625"/>
    <w:link w:val="626"/>
    <w:pPr>
      <w:spacing w:after="0" w:line="240" w:lineRule="auto"/>
      <w:widowControl w:val="off"/>
      <w:tabs>
        <w:tab w:val="center" w:pos="4677" w:leader="none"/>
        <w:tab w:val="right" w:pos="9355" w:leader="none"/>
      </w:tabs>
    </w:pPr>
    <w:rPr>
      <w:rFonts w:ascii="Times New Roman" w:hAnsi="Times New Roman" w:eastAsia="Times New Roman"/>
      <w:sz w:val="20"/>
      <w:szCs w:val="20"/>
      <w:lang w:val="en-US" w:eastAsia="ru-RU"/>
    </w:rPr>
  </w:style>
  <w:style w:type="character" w:styleId="626">
    <w:name w:val="Нижний колонтитул Знак"/>
    <w:next w:val="626"/>
    <w:link w:val="625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27">
    <w:name w:val="Верхний колонтитул"/>
    <w:basedOn w:val="615"/>
    <w:next w:val="627"/>
    <w:link w:val="62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28">
    <w:name w:val="Верхний колонтитул Знак"/>
    <w:basedOn w:val="617"/>
    <w:next w:val="628"/>
    <w:link w:val="627"/>
    <w:uiPriority w:val="99"/>
  </w:style>
  <w:style w:type="paragraph" w:styleId="629">
    <w:name w:val="Текст выноски"/>
    <w:basedOn w:val="615"/>
    <w:next w:val="629"/>
    <w:link w:val="630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styleId="630">
    <w:name w:val="Текст выноски Знак"/>
    <w:next w:val="630"/>
    <w:link w:val="629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1262" w:default="1">
    <w:name w:val="Default Paragraph Font"/>
    <w:uiPriority w:val="1"/>
    <w:semiHidden/>
    <w:unhideWhenUsed/>
  </w:style>
  <w:style w:type="numbering" w:styleId="1263" w:default="1">
    <w:name w:val="No List"/>
    <w:uiPriority w:val="99"/>
    <w:semiHidden/>
    <w:unhideWhenUsed/>
  </w:style>
  <w:style w:type="table" w:styleId="126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Селиверстова Е.С.</dc:creator>
  <cp:revision>41</cp:revision>
  <dcterms:created xsi:type="dcterms:W3CDTF">2023-03-13T08:30:00Z</dcterms:created>
  <dcterms:modified xsi:type="dcterms:W3CDTF">2023-09-20T13:20:34Z</dcterms:modified>
  <cp:version>786432</cp:version>
</cp:coreProperties>
</file>